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custom-properties" Target="docProps/custom.xml" /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 w14:paraId="5C48286A">
      <w:pPr>
        <w:widowControl w:val="0"/>
        <w:keepNext w:val="0"/>
        <w:keepLines w:val="0"/>
        <w:pageBreakBefore w:val="0"/>
        <w:wordWrap w:val="1"/>
        <w:overflowPunct w:val="1"/>
        <w:topLinePunct w:val="0"/>
        <w:kinsoku w:val="1"/>
        <w:autoSpaceDE w:val="1"/>
        <w:autoSpaceDN w:val="1"/>
        <w:bidi w:val="0"/>
        <w:adjustRightInd w:val="1"/>
        <w:snapToGrid w:val="1"/>
        <w:jc w:val="center"/>
        <w:spacing w:line="560" w:lineRule="exact"/>
        <w:rPr>
          <w:sz w:val="44"/>
          <w:lang w:val="en-US" w:eastAsia="zh-CN"/>
          <w:szCs w:val="44"/>
          <w:rFonts w:ascii="方正小标宋简体" w:hAnsi="方正小标宋简体" w:eastAsia="方正小标宋简体" w:cs="方正小标宋简体" w:hint="eastAsia"/>
        </w:rPr>
      </w:pPr>
      <w:r>
        <w:rPr>
          <w:sz w:val="44"/>
          <w:lang w:val="en-US" w:eastAsia="zh-CN"/>
          <w:szCs w:val="44"/>
          <w:rFonts w:ascii="方正小标宋简体" w:hAnsi="方正小标宋简体" w:eastAsia="方正小标宋简体" w:cs="方正小标宋简体" w:hint="eastAsia"/>
        </w:rPr>
        <w:t>关于打造低空经济产业业态、激活闲置资产效能、培育区域发展新动能的建议</w:t>
      </w:r>
    </w:p>
    <w:p w14:paraId="4C5C5C4F">
      <w:pPr>
        <w:widowControl w:val="0"/>
        <w:keepNext w:val="0"/>
        <w:keepLines w:val="0"/>
        <w:pageBreakBefore w:val="0"/>
        <w:wordWrap w:val="1"/>
        <w:overflowPunct w:val="1"/>
        <w:topLinePunct w:val="0"/>
        <w:kinsoku w:val="1"/>
        <w:autoSpaceDE w:val="1"/>
        <w:autoSpaceDN w:val="1"/>
        <w:bidi w:val="0"/>
        <w:adjustRightInd w:val="1"/>
        <w:snapToGrid w:val="1"/>
        <w:spacing w:line="560" w:lineRule="exact"/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</w:pPr>
    </w:p>
    <w:p w14:paraId="2B0D9BE6">
      <w:pPr>
        <w:widowControl w:val="0"/>
        <w:keepNext w:val="0"/>
        <w:keepLines w:val="0"/>
        <w:pageBreakBefore w:val="0"/>
        <w:wordWrap w:val="1"/>
        <w:overflowPunct w:val="1"/>
        <w:topLinePunct w:val="0"/>
        <w:kinsoku w:val="1"/>
        <w:autoSpaceDE w:val="1"/>
        <w:autoSpaceDN w:val="1"/>
        <w:bidi w:val="0"/>
        <w:adjustRightInd w:val="1"/>
        <w:snapToGrid w:val="1"/>
        <w:spacing w:line="560" w:lineRule="exact"/>
        <w:ind w:firstLine="643" w:firstLineChars="200"/>
        <w:rPr>
          <w:sz w:val="32"/>
          <w:lang w:val="en-US" w:eastAsia="zh-CN"/>
          <w:szCs w:val="32"/>
          <w:rFonts w:ascii="仿宋" w:hAnsi="仿宋" w:eastAsia="仿宋" w:cs="仿宋" w:hint="default"/>
        </w:rPr>
      </w:pPr>
      <w:r>
        <w:rPr>
          <w:b w:val="1"/>
          <w:sz w:val="32"/>
          <w:bCs/>
          <w:szCs w:val="32"/>
          <w:rFonts w:ascii="仿宋" w:hAnsi="仿宋" w:eastAsia="仿宋" w:cs="仿宋" w:hint="eastAsia"/>
        </w:rPr>
        <w:t>提案人：于冬芬</w:t>
      </w:r>
    </w:p>
    <w:p w14:paraId="7D10922C">
      <w:pPr>
        <w:widowControl w:val="0"/>
        <w:keepNext w:val="0"/>
        <w:keepLines w:val="0"/>
        <w:pageBreakBefore w:val="0"/>
        <w:wordWrap w:val="1"/>
        <w:overflowPunct w:val="1"/>
        <w:topLinePunct w:val="0"/>
        <w:kinsoku w:val="1"/>
        <w:autoSpaceDE w:val="1"/>
        <w:autoSpaceDN w:val="1"/>
        <w:bidi w:val="0"/>
        <w:adjustRightInd w:val="1"/>
        <w:snapToGrid w:val="1"/>
        <w:spacing w:line="560" w:lineRule="exact"/>
        <w:ind w:firstLine="643" w:firstLineChars="200"/>
        <w:rPr>
          <w:sz w:val="32"/>
          <w:lang w:eastAsia="zh-CN"/>
          <w:szCs w:val="32"/>
          <w:rFonts w:ascii="仿宋" w:hAnsi="仿宋" w:eastAsia="仿宋" w:cs="仿宋" w:hint="eastAsia"/>
        </w:rPr>
      </w:pPr>
      <w:r>
        <w:rPr>
          <w:b w:val="1"/>
          <w:sz w:val="32"/>
          <w:bCs/>
          <w:szCs w:val="32"/>
          <w:rFonts w:ascii="仿宋" w:hAnsi="仿宋" w:eastAsia="仿宋" w:cs="仿宋" w:hint="eastAsia"/>
        </w:rPr>
        <w:t>承办单位：</w:t>
      </w:r>
      <w:r>
        <w:rPr>
          <w:sz w:val="32"/>
          <w:lang w:val="en-US" w:eastAsia="zh-CN"/>
          <w:szCs w:val="32"/>
          <w:rFonts w:ascii="仿宋" w:hAnsi="仿宋" w:eastAsia="仿宋" w:cs="仿宋" w:hint="eastAsia"/>
        </w:rPr>
        <w:t>喀喇沁旗人民政府</w:t>
      </w:r>
    </w:p>
    <w:p w14:paraId="27B321CB">
      <w:pPr>
        <w:widowControl w:val="0"/>
        <w:keepNext w:val="0"/>
        <w:keepLines w:val="0"/>
        <w:pageBreakBefore w:val="0"/>
        <w:wordWrap w:val="1"/>
        <w:overflowPunct w:val="1"/>
        <w:topLinePunct w:val="0"/>
        <w:kinsoku w:val="1"/>
        <w:autoSpaceDE w:val="1"/>
        <w:autoSpaceDN w:val="1"/>
        <w:bidi w:val="0"/>
        <w:adjustRightInd w:val="1"/>
        <w:snapToGrid w:val="1"/>
        <w:spacing w:line="560" w:lineRule="exact"/>
        <w:ind w:firstLine="640" w:firstLineChars="200"/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</w:pPr>
      <w:r>
        <w:rPr>
          <w:sz w:val="32"/>
          <w:lang w:val="en-US" w:eastAsia="zh-CN"/>
          <w:szCs w:val="32"/>
          <w:rFonts w:ascii="仿宋_GB2312" w:hAnsi="仿宋_GB2312" w:eastAsia="仿宋_GB2312" w:cs="仿宋_GB2312" w:hint="default"/>
        </w:rPr>
        <w:t>当前，低空经济作为国家战略性新兴产业，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  <w:t>具有涵盖产业领域广、产业链条长、带动作用大等特点，是开辟战略性新兴产业和未来产业发展新赛道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default"/>
        </w:rPr>
        <w:t>。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  <w:t>2025年8月15日，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default"/>
        </w:rPr>
        <w:t>中共中央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  <w:t>、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default"/>
        </w:rPr>
        <w:t>国务院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  <w:t>在《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default"/>
        </w:rPr>
        <w:t>关于推动城市高质量发展的意见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  <w:t>》明确提到要“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default"/>
        </w:rPr>
        <w:t>因城施策增强城市发展动力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  <w:t>。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default"/>
        </w:rPr>
        <w:t>深入实施国家战略性新兴产业集群发展工程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  <w:t>......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default"/>
        </w:rPr>
        <w:t>大力发展生产性服务业，推动生活性服务业补齐短板、提高水平。发展首发经济、银发经济、冰雪经济、低空经济，培育消费新场景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  <w:t>”。要“激活城市存量资源潜力。全面摸清城市房屋、设施、土地等资产资源底数。改造利用老旧厂房、低效楼宇、闲置传统商业设施等存量房屋，建立与建筑功能转换和混合利用需求相适应的规划调整机制”。2024年11月10日，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default"/>
        </w:rPr>
        <w:t>内蒙古自治区已出台低空空域管理改革实施方案，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  <w:t>明确“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default"/>
        </w:rPr>
        <w:t>到2027年，全区低空空域充分释放、高效利用，低空飞行基础设施有效覆盖，综合监管服务平台高效运行，规章制度健全规范，军地民三方低空空域协同管理体系基本完善。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  <w:t>”</w:t>
      </w:r>
    </w:p>
    <w:p w14:paraId="77F37264">
      <w:pPr>
        <w:widowControl w:val="0"/>
        <w:keepNext w:val="0"/>
        <w:keepLines w:val="0"/>
        <w:pageBreakBefore w:val="0"/>
        <w:wordWrap w:val="1"/>
        <w:overflowPunct w:val="1"/>
        <w:topLinePunct w:val="0"/>
        <w:kinsoku w:val="1"/>
        <w:autoSpaceDE w:val="1"/>
        <w:autoSpaceDN w:val="1"/>
        <w:bidi w:val="0"/>
        <w:adjustRightInd w:val="1"/>
        <w:snapToGrid w:val="1"/>
        <w:spacing w:line="560" w:lineRule="exact"/>
        <w:ind w:firstLine="640" w:firstLineChars="200"/>
        <w:rPr>
          <w:sz w:val="32"/>
          <w:lang w:val="en-US" w:eastAsia="zh-CN"/>
          <w:szCs w:val="32"/>
          <w:rFonts w:ascii="仿宋_GB2312" w:hAnsi="仿宋_GB2312" w:eastAsia="仿宋_GB2312" w:cs="仿宋_GB2312" w:hint="default"/>
        </w:rPr>
      </w:pPr>
      <w:r>
        <w:rPr>
          <w:sz w:val="32"/>
          <w:lang w:val="en-US" w:eastAsia="zh-CN"/>
          <w:szCs w:val="32"/>
          <w:rFonts w:ascii="仿宋_GB2312" w:hAnsi="仿宋_GB2312" w:eastAsia="仿宋_GB2312" w:cs="仿宋_GB2312" w:hint="default"/>
        </w:rPr>
        <w:t>我旗坐拥蒙冀辽三省交界的区位优势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  <w:t>，具备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default"/>
        </w:rPr>
        <w:t>57.8% 的森林覆盖率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  <w:t>的自然优势，拥有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default"/>
        </w:rPr>
        <w:t>年接待32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  <w:t>0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default"/>
        </w:rPr>
        <w:t>万人次的文旅市场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  <w:t>,特别是喀喇沁旗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  <w:t>美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  <w:t>林镇生态环境优良、空域条件相对适宜，具有通往京津冀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default"/>
        </w:rPr>
        <w:t>跨省旅游通道等交通便利条件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  <w:t>，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  <w:t>同时拥有一定规模的闲置资产（如旧校舍、厂房、闲置土地等），具备发展低空经济相关产业的潜在基础。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default"/>
        </w:rPr>
        <w:t>为抢抓发展机遇，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  <w:t>将生态资源优势、闲置资产存量转化为经济发展增量，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default"/>
        </w:rPr>
        <w:t>推动闲置资产 “变废为宝”，培育区域经济新增长极，现提出以下建议：</w:t>
      </w:r>
    </w:p>
    <w:p w14:paraId="73360464">
      <w:pPr>
        <w:widowControl w:val="0"/>
        <w:keepNext w:val="0"/>
        <w:keepLines w:val="0"/>
        <w:pageBreakBefore w:val="0"/>
        <w:wordWrap w:val="1"/>
        <w:overflowPunct w:val="1"/>
        <w:topLinePunct w:val="0"/>
        <w:kinsoku w:val="1"/>
        <w:autoSpaceDE w:val="1"/>
        <w:autoSpaceDN w:val="1"/>
        <w:bidi w:val="0"/>
        <w:adjustRightInd w:val="1"/>
        <w:snapToGrid w:val="1"/>
        <w:numPr>
          <w:ilvl w:val="0"/>
          <w:numId w:val="0"/>
        </w:numPr>
        <w:spacing w:line="560" w:lineRule="exact"/>
        <w:ind w:firstLine="640" w:firstLineChars="200"/>
        <w:rPr>
          <w:sz w:val="32"/>
          <w:lang w:val="en-US" w:eastAsia="zh-CN"/>
          <w:szCs w:val="32"/>
          <w:rFonts w:ascii="黑体" w:hAnsi="黑体" w:eastAsia="黑体" w:cs="黑体" w:hint="eastAsia"/>
        </w:rPr>
      </w:pPr>
      <w:r>
        <w:rPr>
          <w:sz w:val="32"/>
          <w:lang w:val="en-US" w:eastAsia="zh-CN" w:bidi="ar-SA"/>
          <w:kern w:val="2"/>
          <w:szCs w:val="32"/>
          <w:rFonts w:ascii="黑体" w:hAnsi="黑体" w:eastAsia="黑体" w:cs="黑体" w:hint="eastAsia"/>
        </w:rPr>
        <w:t>一、</w:t>
      </w:r>
      <w:r>
        <w:rPr>
          <w:sz w:val="32"/>
          <w:lang w:val="en-US" w:eastAsia="zh-CN"/>
          <w:szCs w:val="32"/>
          <w:rFonts w:ascii="黑体" w:hAnsi="黑体" w:eastAsia="黑体" w:cs="黑体" w:hint="eastAsia"/>
        </w:rPr>
        <w:t>强化政策保障，建立政企协同推进机制</w:t>
      </w:r>
    </w:p>
    <w:p w14:paraId="3324A8D9">
      <w:pPr>
        <w:widowControl w:val="0"/>
        <w:keepNext w:val="0"/>
        <w:keepLines w:val="0"/>
        <w:pageBreakBefore w:val="0"/>
        <w:wordWrap w:val="1"/>
        <w:overflowPunct w:val="1"/>
        <w:topLinePunct w:val="0"/>
        <w:kinsoku w:val="1"/>
        <w:autoSpaceDE w:val="1"/>
        <w:autoSpaceDN w:val="1"/>
        <w:bidi w:val="0"/>
        <w:adjustRightInd w:val="1"/>
        <w:snapToGrid w:val="1"/>
        <w:numPr>
          <w:ilvl w:val="0"/>
          <w:numId w:val="0"/>
        </w:numPr>
        <w:spacing w:line="560" w:lineRule="exact"/>
        <w:ind w:firstLine="643" w:firstLineChars="200"/>
        <w:rPr>
          <w:sz w:val="32"/>
          <w:lang w:val="en-US" w:eastAsia="zh-CN"/>
          <w:szCs w:val="32"/>
          <w:rFonts w:ascii="仿宋_GB2312" w:hAnsi="仿宋_GB2312" w:eastAsia="仿宋_GB2312" w:cs="仿宋_GB2312" w:hint="default"/>
        </w:rPr>
      </w:pPr>
      <w:r>
        <w:rPr>
          <w:b w:val="1"/>
          <w:sz w:val="32"/>
          <w:lang w:val="en-US" w:eastAsia="zh-CN"/>
          <w:bCs/>
          <w:szCs w:val="32"/>
          <w:rFonts w:ascii="仿宋_GB2312" w:hAnsi="仿宋_GB2312" w:eastAsia="仿宋_GB2312" w:cs="仿宋_GB2312" w:hint="eastAsia"/>
        </w:rPr>
        <w:t>一是高位推动，保障发展。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default"/>
        </w:rPr>
        <w:t>建议成立低空经济发展工作专班，建立“军地民”三方对接机制，统筹协调空域审批、项目落地、政策落实等工作。</w:t>
      </w:r>
      <w:r>
        <w:rPr>
          <w:b w:val="1"/>
          <w:sz w:val="32"/>
          <w:lang w:val="en-US" w:eastAsia="zh-CN"/>
          <w:bCs/>
          <w:szCs w:val="32"/>
          <w:rFonts w:ascii="仿宋_GB2312" w:hAnsi="仿宋_GB2312" w:eastAsia="仿宋_GB2312" w:cs="仿宋_GB2312" w:hint="eastAsia"/>
        </w:rPr>
        <w:t>二是谋划政策，助力发展。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default"/>
        </w:rPr>
        <w:t>出台专项扶持政策，对闲置资产改造项目给予容积率调整、税费减免、补贴支持；对低空经济企业提供场地租金优惠、人才引进补贴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  <w:t>等一系列优惠扶持政策。</w:t>
      </w:r>
      <w:r>
        <w:rPr>
          <w:b w:val="1"/>
          <w:sz w:val="32"/>
          <w:lang w:val="en-US" w:eastAsia="zh-CN"/>
          <w:bCs/>
          <w:szCs w:val="32"/>
          <w:rFonts w:ascii="仿宋_GB2312" w:hAnsi="仿宋_GB2312" w:eastAsia="仿宋_GB2312" w:cs="仿宋_GB2312" w:hint="eastAsia"/>
        </w:rPr>
        <w:t>三是协作发展，健全链条。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  <w:t>依托积极的政策导向，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default"/>
        </w:rPr>
        <w:t>吸引研发、运营、服务类企业集聚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  <w:t>，形成产业链条全规模建设，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  <w:t>集聚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  <w:t>产业效能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default"/>
        </w:rPr>
        <w:t>。加强与京津冀地区低空经济企业合作，承接产业转移，推动低空经济与现有文旅、农牧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  <w:t>林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default"/>
        </w:rPr>
        <w:t>业、物流产业深度融合，培育区域发展新动能。</w:t>
      </w:r>
    </w:p>
    <w:p w14:paraId="3EE978B1">
      <w:pPr>
        <w:widowControl w:val="0"/>
        <w:keepNext w:val="0"/>
        <w:keepLines w:val="0"/>
        <w:pageBreakBefore w:val="0"/>
        <w:wordWrap w:val="1"/>
        <w:overflowPunct w:val="1"/>
        <w:topLinePunct w:val="0"/>
        <w:kinsoku w:val="1"/>
        <w:autoSpaceDE w:val="1"/>
        <w:autoSpaceDN w:val="1"/>
        <w:bidi w:val="0"/>
        <w:adjustRightInd w:val="1"/>
        <w:snapToGrid w:val="1"/>
        <w:numPr>
          <w:ilvl w:val="0"/>
          <w:numId w:val="0"/>
        </w:numPr>
        <w:spacing w:line="560" w:lineRule="exact"/>
        <w:ind w:firstLine="640" w:firstLineChars="200"/>
        <w:rPr>
          <w:sz w:val="32"/>
          <w:lang w:val="en-US" w:eastAsia="zh-CN"/>
          <w:szCs w:val="32"/>
          <w:rFonts w:ascii="黑体" w:hAnsi="黑体" w:eastAsia="黑体" w:cs="黑体" w:hint="eastAsia"/>
        </w:rPr>
      </w:pPr>
      <w:r>
        <w:rPr>
          <w:sz w:val="32"/>
          <w:lang w:val="en-US" w:eastAsia="zh-CN" w:bidi="ar-SA"/>
          <w:kern w:val="2"/>
          <w:szCs w:val="32"/>
          <w:rFonts w:ascii="黑体" w:hAnsi="黑体" w:eastAsia="黑体" w:cs="黑体" w:hint="eastAsia"/>
        </w:rPr>
        <w:t>二、</w:t>
      </w:r>
      <w:r>
        <w:rPr>
          <w:sz w:val="32"/>
          <w:lang w:val="en-US" w:eastAsia="zh-CN"/>
          <w:szCs w:val="32"/>
          <w:rFonts w:ascii="黑体" w:hAnsi="黑体" w:eastAsia="黑体" w:cs="黑体" w:hint="eastAsia"/>
        </w:rPr>
        <w:t>锚定特色业态，打造“</w:t>
      </w:r>
      <w:r>
        <w:rPr>
          <w:sz w:val="32"/>
          <w:lang w:val="en-US" w:eastAsia="zh-CN"/>
          <w:szCs w:val="32"/>
          <w:rFonts w:ascii="黑体" w:hAnsi="黑体" w:eastAsia="黑体" w:cs="黑体" w:hint="eastAsia"/>
        </w:rPr>
        <w:t>低空经济+</w:t>
      </w:r>
      <w:r>
        <w:rPr>
          <w:sz w:val="32"/>
          <w:lang w:val="en-US" w:eastAsia="zh-CN"/>
          <w:szCs w:val="32"/>
          <w:rFonts w:ascii="黑体" w:hAnsi="黑体" w:eastAsia="黑体" w:cs="黑体" w:hint="eastAsia"/>
        </w:rPr>
        <w:t>”标杆业态</w:t>
      </w:r>
    </w:p>
    <w:p w14:paraId="4F72809C">
      <w:pPr>
        <w:widowControl w:val="0"/>
        <w:keepNext w:val="0"/>
        <w:keepLines w:val="0"/>
        <w:pageBreakBefore w:val="0"/>
        <w:wordWrap w:val="1"/>
        <w:overflowPunct w:val="1"/>
        <w:topLinePunct w:val="0"/>
        <w:kinsoku w:val="1"/>
        <w:autoSpaceDE w:val="1"/>
        <w:autoSpaceDN w:val="1"/>
        <w:bidi w:val="0"/>
        <w:adjustRightInd w:val="1"/>
        <w:snapToGrid w:val="1"/>
        <w:numPr>
          <w:ilvl w:val="0"/>
          <w:numId w:val="0"/>
        </w:numPr>
        <w:spacing w:line="560" w:lineRule="exact"/>
        <w:ind w:firstLine="643" w:firstLineChars="200"/>
        <w:rPr>
          <w:sz w:val="32"/>
          <w:lang w:val="en-US" w:eastAsia="zh-CN"/>
          <w:szCs w:val="32"/>
          <w:rFonts w:ascii="仿宋_GB2312" w:hAnsi="仿宋_GB2312" w:eastAsia="仿宋_GB2312" w:cs="仿宋_GB2312" w:hint="default"/>
        </w:rPr>
      </w:pPr>
      <w:r>
        <w:rPr>
          <w:b w:val="1"/>
          <w:sz w:val="32"/>
          <w:lang w:val="en-US" w:eastAsia="zh-CN"/>
          <w:bCs/>
          <w:szCs w:val="32"/>
          <w:rFonts w:ascii="仿宋_GB2312" w:hAnsi="仿宋_GB2312" w:eastAsia="仿宋_GB2312" w:cs="仿宋_GB2312" w:hint="eastAsia"/>
        </w:rPr>
        <w:t>一是以宏观引导勾勒产业蓝图。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  <w:t>积极开辟战略性新兴产业和未来产业发展新赛道，统筹布局新兴产业和传统产业发展格局。积极申报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  <w:t>争取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  <w:t>国家及自治区各类专项项目，以场景引领产业发展。</w:t>
      </w:r>
      <w:r>
        <w:rPr>
          <w:b w:val="1"/>
          <w:sz w:val="32"/>
          <w:lang w:val="en-US" w:eastAsia="zh-CN"/>
          <w:bCs/>
          <w:szCs w:val="32"/>
          <w:rFonts w:ascii="仿宋_GB2312" w:hAnsi="仿宋_GB2312" w:eastAsia="仿宋_GB2312" w:cs="仿宋_GB2312" w:hint="eastAsia"/>
        </w:rPr>
        <w:t>二是</w:t>
      </w:r>
      <w:r>
        <w:rPr>
          <w:b w:val="1"/>
          <w:sz w:val="32"/>
          <w:lang w:val="en-US" w:eastAsia="zh-CN"/>
          <w:bCs/>
          <w:szCs w:val="32"/>
          <w:rFonts w:ascii="仿宋_GB2312" w:hAnsi="仿宋_GB2312" w:eastAsia="仿宋_GB2312" w:cs="仿宋_GB2312" w:hint="eastAsia"/>
        </w:rPr>
        <w:t>以业态集聚推动产业发展。</w:t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  <w:t>积极打造“低空经济+文旅”融合名片，依托美林谷滑雪场、美林村农文旅融合示范村等现有资源，将闲置山地、校产、厂房，推动低空基建建设，标准化飞行营地等配套设施建设。让 “空中游喀喇沁” 成为文旅新名片，助力我旗旅游年收入持续增长。</w:t>
      </w:r>
      <w:r>
        <w:rPr>
          <w:b w:val="1"/>
          <w:sz w:val="32"/>
          <w:lang w:val="en-US" w:eastAsia="zh-CN"/>
          <w:bCs/>
          <w:szCs w:val="32"/>
          <w:rFonts w:ascii="仿宋_GB2312" w:hAnsi="仿宋_GB2312" w:eastAsia="仿宋_GB2312" w:cs="仿宋_GB2312" w:hint="eastAsia"/>
        </w:rPr>
        <w:t>三是以产业发展助推政务服务。</w:t>
      </w:r>
      <w:r>
        <w:tab/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</w:r>
      <w:r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  <w:t>结合我旗森林覆盖广、景区分布散的特点，在闲置矿区、国有林场选址建设直升机起降点，构建低空应急反应圈，承担森林消防、应急救援、灾情评估等任务。同时拓展“低空 + 政务服务”场景，利用无人机开展生态巡检、违建排查、电力巡线等工作，提升基层治理效能。例如甘肃省合水县积极探索推进低空经济与智慧林业深度融合，引入无人机、人工智能等新技术加强生态保护。</w:t>
      </w:r>
    </w:p>
    <w:p w14:paraId="4AEC5993">
      <w:pPr>
        <w:widowControl w:val="0"/>
        <w:keepNext w:val="0"/>
        <w:keepLines w:val="0"/>
        <w:pageBreakBefore w:val="0"/>
        <w:wordWrap w:val="1"/>
        <w:overflowPunct w:val="1"/>
        <w:topLinePunct w:val="0"/>
        <w:kinsoku w:val="1"/>
        <w:autoSpaceDE w:val="1"/>
        <w:autoSpaceDN w:val="1"/>
        <w:bidi w:val="0"/>
        <w:adjustRightInd w:val="1"/>
        <w:snapToGrid w:val="1"/>
        <w:numPr>
          <w:ilvl w:val="0"/>
          <w:numId w:val="0"/>
        </w:numPr>
        <w:spacing w:line="560" w:lineRule="exact"/>
        <w:ind w:firstLine="640" w:firstLineChars="200"/>
        <w:rPr>
          <w:sz w:val="32"/>
          <w:lang w:val="en-US" w:eastAsia="zh-CN"/>
          <w:szCs w:val="32"/>
          <w:rFonts w:ascii="黑体" w:hAnsi="黑体" w:eastAsia="黑体" w:cs="黑体" w:hint="eastAsia"/>
        </w:rPr>
      </w:pPr>
      <w:r>
        <w:rPr>
          <w:sz w:val="32"/>
          <w:lang w:val="en-US" w:eastAsia="zh-CN"/>
          <w:szCs w:val="32"/>
          <w:rFonts w:ascii="黑体" w:hAnsi="黑体" w:eastAsia="黑体" w:cs="黑体" w:hint="eastAsia"/>
        </w:rPr>
        <w:t>三是统筹</w:t>
      </w:r>
      <w:r>
        <w:rPr>
          <w:sz w:val="32"/>
          <w:lang w:val="en-US" w:eastAsia="zh-CN"/>
          <w:szCs w:val="32"/>
          <w:rFonts w:ascii="黑体" w:hAnsi="黑体" w:eastAsia="黑体" w:cs="黑体" w:hint="eastAsia"/>
        </w:rPr>
        <w:t>经济发展，打造“政产学研金服用”一体化发展体系</w:t>
      </w:r>
    </w:p>
    <w:p w14:paraId="3D9333AA">
      <w:pPr>
        <w:widowControl w:val="0"/>
        <w:keepNext w:val="0"/>
        <w:keepLines w:val="0"/>
        <w:pageBreakBefore w:val="0"/>
        <w:wordWrap w:val="1"/>
        <w:overflowPunct w:val="1"/>
        <w:topLinePunct w:val="0"/>
        <w:kinsoku w:val="1"/>
        <w:autoSpaceDE w:val="1"/>
        <w:autoSpaceDN w:val="1"/>
        <w:bidi w:val="0"/>
        <w:adjustRightInd w:val="1"/>
        <w:snapToGrid w:val="1"/>
        <w:numPr>
          <w:ilvl w:val="0"/>
          <w:numId w:val="0"/>
        </w:numPr>
        <w:spacing w:line="560" w:lineRule="exact"/>
        <w:ind w:firstLine="640" w:firstLineChars="200"/>
        <w:rPr>
          <w:sz w:val="32"/>
          <w:lang w:val="en-US" w:eastAsia="zh-CN"/>
          <w:szCs w:val="32"/>
          <w:rFonts w:ascii="仿宋_GB2312" w:hAnsi="仿宋_GB2312" w:eastAsia="仿宋_GB2312" w:cs="仿宋_GB2312" w:hint="default"/>
        </w:rPr>
      </w:pPr>
      <w:r>
        <w:rPr>
          <w:sz w:val="32"/>
          <w:lang w:val="en-US" w:eastAsia="zh-CN"/>
          <w:szCs w:val="32"/>
          <w:rFonts w:ascii="仿宋_GB2312" w:hAnsi="仿宋_GB2312" w:eastAsia="仿宋_GB2312" w:cs="仿宋_GB2312" w:hint="eastAsia"/>
        </w:rPr>
        <w:t>瞄准发展新赛道、构筑人才新优势。针对产业发展全链条，紧盯重点群体和重点领域，组织实施青年技能提升、农民工服务技能提升、低空经济技能人才培育、新能源汽车技能就业和人工智能技术技能提升等配套培训行动计划，使培训服务与人才建设更好服务于产业发展。</w:t>
      </w:r>
    </w:p>
    <w:p w14:paraId="49FC0265">
      <w:pPr>
        <w:widowControl w:val="0"/>
        <w:keepNext w:val="0"/>
        <w:keepLines w:val="0"/>
        <w:pageBreakBefore w:val="0"/>
        <w:wordWrap w:val="1"/>
        <w:overflowPunct w:val="1"/>
        <w:topLinePunct w:val="0"/>
        <w:kinsoku w:val="1"/>
        <w:autoSpaceDE w:val="1"/>
        <w:autoSpaceDN w:val="1"/>
        <w:bidi w:val="0"/>
        <w:adjustRightInd w:val="1"/>
        <w:snapToGrid w:val="1"/>
        <w:numPr>
          <w:ilvl w:val="0"/>
          <w:numId w:val="0"/>
        </w:numPr>
        <w:spacing w:line="560" w:lineRule="exact"/>
        <w:ind w:firstLine="640" w:firstLineChars="200"/>
        <w:rPr>
          <w:sz w:val="32"/>
          <w:lang w:val="en-US" w:eastAsia="zh-CN"/>
          <w:szCs w:val="32"/>
          <w:rFonts w:ascii="仿宋_GB2312" w:hAnsi="仿宋_GB2312" w:eastAsia="仿宋_GB2312" w:cs="仿宋_GB2312" w:hint="default"/>
        </w:rPr>
      </w:pPr>
      <w:bookmarkStart w:id="0" w:name="_GoBack"/>
      <w:bookmarkEnd w:id="0"/>
      <w:r>
        <w:rPr>
          <w:sz w:val="32"/>
          <w:lang w:val="en-US" w:eastAsia="zh-CN"/>
          <w:szCs w:val="32"/>
          <w:rFonts w:ascii="仿宋_GB2312" w:hAnsi="仿宋_GB2312" w:eastAsia="仿宋_GB2312" w:cs="仿宋_GB2312" w:hint="default"/>
        </w:rPr>
        <w:t>恳请旗人民政府对以上建议予以研究采纳，推动我旗低空经济产业高质量发展，让闲置资产焕发新活力，为全旗经济社会发展注入强劲动力！</w:t>
      </w:r>
    </w:p>
    <w:p w14:paraId="1440278D">
      <w:pPr>
        <w:widowControl w:val="0"/>
        <w:keepNext w:val="0"/>
        <w:keepLines w:val="0"/>
        <w:pageBreakBefore w:val="0"/>
        <w:wordWrap w:val="1"/>
        <w:overflowPunct w:val="1"/>
        <w:topLinePunct w:val="0"/>
        <w:autoSpaceDE w:val="1"/>
        <w:autoSpaceDN w:val="1"/>
        <w:bidi w:val="0"/>
        <w:adjustRightInd w:val="1"/>
        <w:snapToGrid w:val="1"/>
        <w:numPr>
          <w:ilvl w:val="0"/>
          <w:numId w:val="0"/>
        </w:numPr>
        <w:spacing w:line="560" w:lineRule="exact"/>
        <w:ind w:firstLine="640" w:firstLineChars="200"/>
        <w:rPr>
          <w:sz w:val="32"/>
          <w:lang w:val="en-US" w:eastAsia="zh-CN"/>
          <w:rFonts w:ascii="仿宋_GB2312" w:hAnsi="仿宋_GB2312" w:eastAsia="仿宋_GB2312" w:cs="仿宋_GB2312" w:hint="default"/>
        </w:rPr>
      </w:pPr>
    </w:p>
    <w:p w14:paraId="0AD666AA">
      <w:pPr>
        <w:widowControl w:val="0"/>
        <w:keepNext w:val="0"/>
        <w:keepLines w:val="0"/>
        <w:pageBreakBefore w:val="0"/>
        <w:wordWrap w:val="1"/>
        <w:overflowPunct w:val="1"/>
        <w:topLinePunct w:val="0"/>
        <w:autoSpaceDE w:val="1"/>
        <w:autoSpaceDN w:val="1"/>
        <w:bidi w:val="0"/>
        <w:adjustRightInd w:val="1"/>
        <w:snapToGrid w:val="1"/>
        <w:numPr>
          <w:ilvl w:val="0"/>
          <w:numId w:val="0"/>
        </w:numPr>
        <w:spacing w:line="560" w:lineRule="exact"/>
        <w:ind w:firstLine="640" w:firstLineChars="200"/>
        <w:rPr>
          <w:sz w:val="32"/>
          <w:lang w:val="en-US" w:eastAsia="zh-CN"/>
          <w:rFonts w:ascii="仿宋_GB2312" w:hAnsi="仿宋_GB2312" w:eastAsia="仿宋_GB2312" w:cs="仿宋_GB2312" w:hint="default"/>
        </w:rPr>
      </w:pPr>
      <w:r>
        <w:rPr>
          <w:sz w:val="32"/>
          <w:lang w:val="en-US" w:eastAsia="zh-CN"/>
          <w:rFonts w:ascii="仿宋_GB2312" w:hAnsi="仿宋_GB2312" w:eastAsia="仿宋_GB2312" w:cs="仿宋_GB2312" w:hint="default"/>
        </w:rPr>
        <w:t xml:space="preserve">              2026年2月3日</w:t>
      </w:r>
    </w:p>
    <w:sectPr>
      <w:docGrid w:type="lines" w:linePitch="312" w:charSpace="0"/>
      <w:pgSz w:w="11906" w:h="16838"/>
      <w:pgMar w:top="1440" w:right="1800" w:bottom="1440" w:left="1800" w:header="851" w:footer="992" w:gutter="0"/>
      <w:cols w:space="425" w:num="1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w14="http://schemas.microsoft.com/office/word/2010/wordml" xmlns:wpsCustomData="http://www.wps.cn/officeDocument/2013/wpsCustomData" xmlns:w10="urn:schemas-microsoft-com:office:word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bordersDoNotSurroundHeader/>
  <w:bordersDoNotSurroundFooter/>
  <w:defaultTabStop w:val="420"/>
  <w:drawingGridVerticalSpacing w:val="156"/>
  <w:displayHorizontalDrawingGridEvery w:val="1"/>
  <w:displayVerticalDrawingGridEvery w:val="1"/>
  <w:characterSpacingControl w:val="compressPunctuation"/>
  <w:zoom w:percent="130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6A3F1617"/>
    <w:rsid w:val="6A3F1617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wpsCustomData="http://www.wps.cn/officeDocument/2013/wpsCustomData" xmlns:w10="urn:schemas-microsoft-com:office:word" xmlns:w14="http://schemas.microsoft.com/office/word/2010/wordml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defLockedState="0" w:defSemiHidden="1" w:defUnhideWhenUsed="1" w:defQFormat="0" w:defUIPriority="99" w:count="260">
    <w:lsdException w:name="Balloon Text" w:semiHidden="0" w:unhideWhenUsed="0"/>
    <w:lsdException w:name="Block Text" w:semiHidden="0" w:unhideWhenUsed="0"/>
    <w:lsdException w:name="Body Text" w:semiHidden="0" w:unhideWhenUsed="0"/>
    <w:lsdException w:name="Body Text 2" w:semiHidden="0" w:unhideWhenUsed="0"/>
    <w:lsdException w:name="Body Text 3" w:semiHidden="0" w:unhideWhenUsed="0"/>
    <w:lsdException w:name="Body Text First Indent" w:semiHidden="0" w:unhideWhenUsed="0"/>
    <w:lsdException w:name="Body Text First Indent 2" w:semiHidden="0" w:unhideWhenUsed="0"/>
    <w:lsdException w:name="Body Text Indent" w:semiHidden="0" w:unhideWhenUsed="0"/>
    <w:lsdException w:name="Body Text Indent 2" w:semiHidden="0" w:unhideWhenUsed="0"/>
    <w:lsdException w:name="Body Text Indent 3" w:semiHidden="0" w:unhideWhenUsed="0"/>
    <w:lsdException w:name="Closing" w:semiHidden="0" w:unhideWhenUsed="0"/>
    <w:lsdException w:name="Colorful Grid" w:semiHidden="0" w:unhideWhenUsed="0"/>
    <w:lsdException w:name="Colorful Grid Accent 1" w:semiHidden="0" w:unhideWhenUsed="0"/>
    <w:lsdException w:name="Colorful Grid Accent 2" w:semiHidden="0" w:unhideWhenUsed="0"/>
    <w:lsdException w:name="Colorful Grid Accent 3" w:semiHidden="0" w:unhideWhenUsed="0"/>
    <w:lsdException w:name="Colorful Grid Accent 4" w:semiHidden="0" w:unhideWhenUsed="0"/>
    <w:lsdException w:name="Colorful Grid Accent 5" w:semiHidden="0" w:unhideWhenUsed="0"/>
    <w:lsdException w:name="Colorful Grid Accent 6" w:semiHidden="0" w:unhideWhenUsed="0"/>
    <w:lsdException w:name="Colorful List" w:semiHidden="0" w:unhideWhenUsed="0"/>
    <w:lsdException w:name="Colorful List Accent 1" w:semiHidden="0" w:unhideWhenUsed="0"/>
    <w:lsdException w:name="Colorful List Accent 2" w:semiHidden="0" w:unhideWhenUsed="0"/>
    <w:lsdException w:name="Colorful List Accent 3" w:semiHidden="0" w:unhideWhenUsed="0"/>
    <w:lsdException w:name="Colorful List Accent 4" w:semiHidden="0" w:unhideWhenUsed="0"/>
    <w:lsdException w:name="Colorful List Accent 5" w:semiHidden="0" w:unhideWhenUsed="0"/>
    <w:lsdException w:name="Colorful List Accent 6" w:semiHidden="0" w:unhideWhenUsed="0"/>
    <w:lsdException w:name="Colorful Shading" w:semiHidden="0" w:unhideWhenUsed="0"/>
    <w:lsdException w:name="Colorful Shading Accent 1" w:semiHidden="0" w:unhideWhenUsed="0"/>
    <w:lsdException w:name="Colorful Shading Accent 2" w:semiHidden="0" w:unhideWhenUsed="0"/>
    <w:lsdException w:name="Colorful Shading Accent 3" w:semiHidden="0" w:unhideWhenUsed="0"/>
    <w:lsdException w:name="Colorful Shading Accent 4" w:semiHidden="0" w:unhideWhenUsed="0"/>
    <w:lsdException w:name="Colorful Shading Accent 5" w:semiHidden="0" w:unhideWhenUsed="0"/>
    <w:lsdException w:name="Colorful Shading Accent 6" w:semiHidden="0" w:unhideWhenUsed="0"/>
    <w:lsdException w:name="Dark List" w:semiHidden="0" w:unhideWhenUsed="0"/>
    <w:lsdException w:name="Dark List Accent 1" w:semiHidden="0" w:unhideWhenUsed="0"/>
    <w:lsdException w:name="Dark List Accent 2" w:semiHidden="0" w:unhideWhenUsed="0"/>
    <w:lsdException w:name="Dark List Accent 3" w:semiHidden="0" w:unhideWhenUsed="0"/>
    <w:lsdException w:name="Dark List Accent 4" w:semiHidden="0" w:unhideWhenUsed="0"/>
    <w:lsdException w:name="Dark List Accent 5" w:semiHidden="0" w:unhideWhenUsed="0"/>
    <w:lsdException w:name="Dark List Accent 6" w:semiHidden="0" w:unhideWhenUsed="0"/>
    <w:lsdException w:name="Date" w:semiHidden="0" w:unhideWhenUsed="0"/>
    <w:lsdException w:name="Default Paragraph Font" w:unhideWhenUsed="0"/>
    <w:lsdException w:name="Document Map" w:semiHidden="0" w:unhideWhenUsed="0"/>
    <w:lsdException w:name="E-mail Signature" w:semiHidden="0" w:unhideWhenUsed="0"/>
    <w:lsdException w:name="Emphasis" w:semiHidden="0" w:unhideWhenUsed="0"/>
    <w:lsdException w:name="FollowedHyperlink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Hyperlink" w:semiHidden="0" w:unhideWhenUsed="0"/>
    <w:lsdException w:name="Light Grid" w:semiHidden="0" w:unhideWhenUsed="0"/>
    <w:lsdException w:name="Light Grid Accent 1" w:semiHidden="0" w:unhideWhenUsed="0"/>
    <w:lsdException w:name="Light Grid Accent 2" w:semiHidden="0" w:unhideWhenUsed="0"/>
    <w:lsdException w:name="Light Grid Accent 3" w:semiHidden="0" w:unhideWhenUsed="0"/>
    <w:lsdException w:name="Light Grid Accent 4" w:semiHidden="0" w:unhideWhenUsed="0"/>
    <w:lsdException w:name="Light Grid Accent 5" w:semiHidden="0" w:unhideWhenUsed="0"/>
    <w:lsdException w:name="Light Grid Accent 6" w:semiHidden="0" w:unhideWhenUsed="0"/>
    <w:lsdException w:name="Light List" w:semiHidden="0" w:unhideWhenUsed="0"/>
    <w:lsdException w:name="Light List Accent 1" w:semiHidden="0" w:unhideWhenUsed="0"/>
    <w:lsdException w:name="Light List Accent 2" w:semiHidden="0" w:unhideWhenUsed="0"/>
    <w:lsdException w:name="Light List Accent 3" w:semiHidden="0" w:unhideWhenUsed="0"/>
    <w:lsdException w:name="Light List Accent 4" w:semiHidden="0" w:unhideWhenUsed="0"/>
    <w:lsdException w:name="Light List Accent 5" w:semiHidden="0" w:unhideWhenUsed="0"/>
    <w:lsdException w:name="Light List Accent 6" w:semiHidden="0" w:unhideWhenUsed="0"/>
    <w:lsdException w:name="Light Shading" w:semiHidden="0" w:unhideWhenUsed="0"/>
    <w:lsdException w:name="Light Shading Accent 1" w:semiHidden="0" w:unhideWhenUsed="0"/>
    <w:lsdException w:name="Light Shading Accent 2" w:semiHidden="0" w:unhideWhenUsed="0"/>
    <w:lsdException w:name="Light Shading Accent 3" w:semiHidden="0" w:unhideWhenUsed="0"/>
    <w:lsdException w:name="Light Shading Accent 4" w:semiHidden="0" w:unhideWhenUsed="0"/>
    <w:lsdException w:name="Light Shading Accent 5" w:semiHidden="0" w:unhideWhenUsed="0"/>
    <w:lsdException w:name="Light Shading Accent 6" w:semiHidden="0" w:unhideWhenUsed="0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List Number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Medium Grid 1" w:semiHidden="0" w:unhideWhenUsed="0"/>
    <w:lsdException w:name="Medium Grid 1 Accent 1" w:semiHidden="0" w:unhideWhenUsed="0"/>
    <w:lsdException w:name="Medium Grid 1 Accent 2" w:semiHidden="0" w:unhideWhenUsed="0"/>
    <w:lsdException w:name="Medium Grid 1 Accent 3" w:semiHidden="0" w:unhideWhenUsed="0"/>
    <w:lsdException w:name="Medium Grid 1 Accent 4" w:semiHidden="0" w:unhideWhenUsed="0"/>
    <w:lsdException w:name="Medium Grid 1 Accent 5" w:semiHidden="0" w:unhideWhenUsed="0"/>
    <w:lsdException w:name="Medium Grid 1 Accent 6" w:semiHidden="0" w:unhideWhenUsed="0"/>
    <w:lsdException w:name="Medium Grid 2" w:semiHidden="0" w:unhideWhenUsed="0"/>
    <w:lsdException w:name="Medium Grid 2 Accent 1" w:semiHidden="0" w:unhideWhenUsed="0"/>
    <w:lsdException w:name="Medium Grid 2 Accent 2" w:semiHidden="0" w:unhideWhenUsed="0"/>
    <w:lsdException w:name="Medium Grid 2 Accent 3" w:semiHidden="0" w:unhideWhenUsed="0"/>
    <w:lsdException w:name="Medium Grid 2 Accent 4" w:semiHidden="0" w:unhideWhenUsed="0"/>
    <w:lsdException w:name="Medium Grid 2 Accent 5" w:semiHidden="0" w:unhideWhenUsed="0"/>
    <w:lsdException w:name="Medium Grid 2 Accent 6" w:semiHidden="0" w:unhideWhenUsed="0"/>
    <w:lsdException w:name="Medium Grid 3" w:semiHidden="0" w:unhideWhenUsed="0"/>
    <w:lsdException w:name="Medium Grid 3 Accent 1" w:semiHidden="0" w:unhideWhenUsed="0"/>
    <w:lsdException w:name="Medium Grid 3 Accent 2" w:semiHidden="0" w:unhideWhenUsed="0"/>
    <w:lsdException w:name="Medium Grid 3 Accent 3" w:semiHidden="0" w:unhideWhenUsed="0"/>
    <w:lsdException w:name="Medium Grid 3 Accent 4" w:semiHidden="0" w:unhideWhenUsed="0"/>
    <w:lsdException w:name="Medium Grid 3 Accent 5" w:semiHidden="0" w:unhideWhenUsed="0"/>
    <w:lsdException w:name="Medium Grid 3 Accent 6" w:semiHidden="0" w:unhideWhenUsed="0"/>
    <w:lsdException w:name="Medium List 1" w:semiHidden="0" w:unhideWhenUsed="0"/>
    <w:lsdException w:name="Medium List 1 Accent 1" w:semiHidden="0" w:unhideWhenUsed="0"/>
    <w:lsdException w:name="Medium List 1 Accent 2" w:semiHidden="0" w:unhideWhenUsed="0"/>
    <w:lsdException w:name="Medium List 1 Accent 3" w:semiHidden="0" w:unhideWhenUsed="0"/>
    <w:lsdException w:name="Medium List 1 Accent 4" w:semiHidden="0" w:unhideWhenUsed="0"/>
    <w:lsdException w:name="Medium List 1 Accent 5" w:semiHidden="0" w:unhideWhenUsed="0"/>
    <w:lsdException w:name="Medium List 1 Accent 6" w:semiHidden="0" w:unhideWhenUsed="0"/>
    <w:lsdException w:name="Medium List 2" w:semiHidden="0" w:unhideWhenUsed="0"/>
    <w:lsdException w:name="Medium List 2 Accent 1" w:semiHidden="0" w:unhideWhenUsed="0"/>
    <w:lsdException w:name="Medium List 2 Accent 2" w:semiHidden="0" w:unhideWhenUsed="0"/>
    <w:lsdException w:name="Medium List 2 Accent 3" w:semiHidden="0" w:unhideWhenUsed="0"/>
    <w:lsdException w:name="Medium List 2 Accent 4" w:semiHidden="0" w:unhideWhenUsed="0"/>
    <w:lsdException w:name="Medium List 2 Accent 5" w:semiHidden="0" w:unhideWhenUsed="0"/>
    <w:lsdException w:name="Medium List 2 Accent 6" w:semiHidden="0" w:unhideWhenUsed="0"/>
    <w:lsdException w:name="Medium Shading 1" w:semiHidden="0" w:unhideWhenUsed="0"/>
    <w:lsdException w:name="Medium Shading 1 Accent 1" w:semiHidden="0" w:unhideWhenUsed="0"/>
    <w:lsdException w:name="Medium Shading 1 Accent 2" w:semiHidden="0" w:unhideWhenUsed="0"/>
    <w:lsdException w:name="Medium Shading 1 Accent 3" w:semiHidden="0" w:unhideWhenUsed="0"/>
    <w:lsdException w:name="Medium Shading 1 Accent 4" w:semiHidden="0" w:unhideWhenUsed="0"/>
    <w:lsdException w:name="Medium Shading 1 Accent 5" w:semiHidden="0" w:unhideWhenUsed="0"/>
    <w:lsdException w:name="Medium Shading 1 Accent 6" w:semiHidden="0" w:unhideWhenUsed="0"/>
    <w:lsdException w:name="Medium Shading 2" w:semiHidden="0" w:unhideWhenUsed="0"/>
    <w:lsdException w:name="Medium Shading 2 Accent 1" w:semiHidden="0" w:unhideWhenUsed="0"/>
    <w:lsdException w:name="Medium Shading 2 Accent 2" w:semiHidden="0" w:unhideWhenUsed="0"/>
    <w:lsdException w:name="Medium Shading 2 Accent 3" w:semiHidden="0" w:unhideWhenUsed="0"/>
    <w:lsdException w:name="Medium Shading 2 Accent 4" w:semiHidden="0" w:unhideWhenUsed="0"/>
    <w:lsdException w:name="Medium Shading 2 Accent 5" w:semiHidden="0" w:unhideWhenUsed="0"/>
    <w:lsdException w:name="Medium Shading 2 Accent 6" w:semiHidden="0" w:unhideWhenUsed="0"/>
    <w:lsdException w:name="Message Header" w:semiHidden="0" w:unhideWhenUsed="0"/>
    <w:lsdException w:name="Normal" w:semiHidden="0" w:unhideWhenUsed="0"/>
    <w:lsdException w:name="Normal (Web)" w:semiHidden="0" w:unhideWhenUsed="0"/>
    <w:lsdException w:name="Normal Indent" w:semiHidden="0" w:unhideWhenUsed="0"/>
    <w:lsdException w:name="Normal Table" w:unhideWhenUsed="0"/>
    <w:lsdException w:name="Note Heading" w:semiHidden="0" w:unhideWhenUsed="0"/>
    <w:lsdException w:name="Plain Text" w:semiHidden="0" w:unhideWhenUsed="0"/>
    <w:lsdException w:name="Salutation" w:semiHidden="0" w:unhideWhenUsed="0"/>
    <w:lsdException w:name="Signature" w:semiHidden="0" w:unhideWhenUsed="0"/>
    <w:lsdException w:name="Strong" w:semiHidden="0" w:unhideWhenUsed="0"/>
    <w:lsdException w:name="Subtitle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Contemporary" w:semiHidden="0" w:unhideWhenUsed="0"/>
    <w:lsdException w:name="Table Elegant" w:semiHidden="0" w:unhideWhenUsed="0"/>
    <w:lsdException w:name="Table Grid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Professional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Subtle 1" w:semiHidden="0" w:unhideWhenUsed="0"/>
    <w:lsdException w:name="Table Subtle 2" w:semiHidden="0" w:unhideWhenUsed="0"/>
    <w:lsdException w:name="Table Theme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Title" w:semiHidden="0" w:unhideWhenUsed="0"/>
    <w:lsdException w:name="annotation reference" w:semiHidden="0" w:unhideWhenUsed="0"/>
    <w:lsdException w:name="annotation subject" w:semiHidden="0" w:unhideWhenUsed="0"/>
    <w:lsdException w:name="annotation text" w:semiHidden="0" w:unhideWhenUsed="0"/>
    <w:lsdException w:name="caption"/>
    <w:lsdException w:name="endnote reference" w:semiHidden="0" w:unhideWhenUsed="0"/>
    <w:lsdException w:name="endnote text" w:semiHidden="0" w:unhideWhenUsed="0"/>
    <w:lsdException w:name="envelope address" w:semiHidden="0" w:unhideWhenUsed="0"/>
    <w:lsdException w:name="envelope return" w:semiHidden="0" w:unhideWhenUsed="0"/>
    <w:lsdException w:name="footer" w:semiHidden="0" w:unhideWhenUsed="0"/>
    <w:lsdException w:name="footnote reference" w:semiHidden="0" w:unhideWhenUsed="0"/>
    <w:lsdException w:name="footnote text" w:semiHidden="0" w:unhideWhenUsed="0"/>
    <w:lsdException w:name="header" w:semiHidden="0" w:unhideWhenUsed="0"/>
    <w:lsdException w:name="heading 1" w:semiHidden="0" w:unhideWhenUsed="0"/>
    <w:lsdException w:name="heading 2"/>
    <w:lsdException w:name="heading 3"/>
    <w:lsdException w:name="heading 4"/>
    <w:lsdException w:name="heading 5"/>
    <w:lsdException w:name="heading 6"/>
    <w:lsdException w:name="heading 7"/>
    <w:lsdException w:name="heading 8"/>
    <w:lsdException w:name="heading 9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index heading" w:semiHidden="0" w:unhideWhenUsed="0"/>
    <w:lsdException w:name="line number" w:semiHidden="0" w:unhideWhenUsed="0"/>
    <w:lsdException w:name="macro" w:semiHidden="0" w:unhideWhenUsed="0"/>
    <w:lsdException w:name="page number" w:semiHidden="0" w:unhideWhenUsed="0"/>
    <w:lsdException w:name="table of authorities" w:semiHidden="0" w:unhideWhenUsed="0"/>
    <w:lsdException w:name="table of figures" w:semiHidden="0" w:unhideWhenUsed="0"/>
    <w:lsdException w:name="toa heading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</w:latentStyles>
  <w:style w:type="paragraph" w:styleId="1" w:default="1">
    <w:name w:val="Normal"/>
    <w:uiPriority w:val="0"/>
    <w:qFormat/>
    <w:pPr>
      <w:widowControl w:val="0"/>
      <w:jc w:val="both"/>
    </w:pPr>
    <w:rPr>
      <w:sz w:val="21"/>
      <w:lang w:val="en-US" w:eastAsia="zh-CN" w:bidi="ar-SA"/>
      <w:kern w:val="2"/>
      <w:szCs w:val="24"/>
      <w:rFonts w:asciiTheme="minorHAnsi" w:hAnsiTheme="minorHAnsi" w:eastAsiaTheme="minorEastAsia" w:cstheme="minorBidi"/>
    </w:rPr>
  </w:style>
  <w:style w:type="character" w:styleId="4" w:default="1">
    <w:name w:val="Default Paragraph Font"/>
    <w:uiPriority w:val="0"/>
    <w:semiHidden/>
  </w:style>
  <w:style w:type="table" w:styleId="3" w:default="1">
    <w:name w:val="Normal Table"/>
    <w:uiPriority w:val="0"/>
    <w:semiHidden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paragraph" w:styleId="2">
    <w:name w:val="Normal (Web)"/>
    <w:basedOn w:val="1"/>
    <w:uiPriority w:val="0"/>
    <w:pPr>
      <w:jc w:val="left"/>
      <w:spacing w:after="0" w:afterAutospacing="1" w:before="0" w:beforeAutospacing="1"/>
      <w:ind w:left="0" w:right="0"/>
    </w:pPr>
    <w:rPr>
      <w:sz w:val="24"/>
      <w:lang w:val="en-US" w:eastAsia="zh-CN" w:bidi="ar"/>
      <w:kern w:val="0"/>
    </w:r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 panose="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ＭＳ ゴシック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 panose="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ＭＳ 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a:dist="25400" a:dir="5400000" a:sy="-100000" a:endA="300" a:endPos="40000" a:stA="50000" a:algn="b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38</TotalTime>
  <Pages>3</Pages>
  <Words>0</Words>
  <Characters>0</Characters>
  <Application>WPS Office_12.1.0.24034_F1E327BC-269C-435d-A152-05C5408002CA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WPS_200866770</dc:creator>
  <cp:keywords/>
  <dc:description/>
  <cp:lastModifiedBy>WPS_200866770</cp:lastModifiedBy>
  <cp:revision>1</cp:revision>
  <dcterms:created xsi:type="dcterms:W3CDTF">2026-02-03T01:35:00Z</dcterms:created>
  <dcterms:modified xsi:type="dcterms:W3CDTF">2026-02-03T03:26:55Z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2052-12.1.0.24034</vt:lpwstr>
  </property>
  <property fmtid="{D5CDD505-2E9C-101B-9397-08002B2CF9AE}" pid="3" name="ICV">
    <vt:lpwstr>D80922AB67A4449BA22F95AA89AD7E26_11</vt:lpwstr>
  </property>
  <property fmtid="{D5CDD505-2E9C-101B-9397-08002B2CF9AE}" pid="4" name="KSOTemplateDocerSaveRecord">
    <vt:lpwstr>eyJoZGlkIjoiNjBiYjAxZGYxOGIzNWNhYTVkMDgyZmUxZGVmMzAzMmMiLCJ1c2VySWQiOiIyMDA4NjY3NzAifQ==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828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关于打造低空经济产业业态、激活闲置资产效能、培育区域发展新动能的建议</w:t>
      </w:r>
    </w:p>
    <w:p w14:paraId="4C5C5C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B0D9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提案人：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美林镇人大代表团</w:t>
      </w:r>
    </w:p>
    <w:p w14:paraId="7D1092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承办单位：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喀喇沁旗人民政府</w:t>
      </w:r>
    </w:p>
    <w:p w14:paraId="27B32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当前，低空经济作为国家战略性新兴产业，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具有涵盖产业领域广、产业链条长、带动作用大等特点，是开辟战略性新兴产业和未来产业发展新赛道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2025年8月15日，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中共中央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国务院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在《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关于推动城市高质量发展的意见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》明确提到要“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因城施策增强城市发展动力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深入实施国家战略性新兴产业集群发展工程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......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大力发展生产性服务业，推动生活性服务业补齐短板、提高水平。发展首发经济、银发经济、冰雪经济、低空经济，培育消费新场景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。要“激活城市存量资源潜力。全面摸清城市房屋、设施、土地等资产资源底数。改造利用老旧厂房、低效楼宇、闲置传统商业设施等存量房屋，建立与建筑功能转换和混合利用需求相适应的规划调整机制”。2024年11月10日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内蒙古自治区已出台低空空域管理改革实施方案，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明确“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到2027年，全区低空空域充分释放、高效利用，低空飞行基础设施有效覆盖，综合监管服务平台高效运行，规章制度健全规范，军地民三方低空空域协同管理体系基本完善。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</w:t>
      </w:r>
    </w:p>
    <w:p w14:paraId="77F372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我旗坐拥蒙冀辽三省交界的区位优势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，具备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57.8% 的森林覆盖率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的自然优势，拥有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年接待32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万人次的文旅市场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,特别是喀喇沁旗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林镇生态环境优良、空域条件相对适宜，具有通往京津冀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跨省旅游通道等交通便利条件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同时拥有一定规模的闲置资产（如旧校舍、厂房、闲置土地等），具备发展低空经济相关产业的潜在基础。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为抢抓发展机遇，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将生态资源优势、闲置资产存量转化为经济发展增量，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推动闲置资产 “变废为宝”，培育区域经济新增长极，现提出以下建议：</w:t>
      </w:r>
    </w:p>
    <w:p w14:paraId="733604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强化政策保障，建立政企协同推进机制</w:t>
      </w:r>
    </w:p>
    <w:p w14:paraId="3324A8D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一是高位推动，保障发展。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建议成立低空经济发展工作专班，建立“军地民”三方对接机制，统筹协调空域审批、项目落地、政策落实等工作。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二是谋划政策，助力发展。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出台专项扶持政策，对闲置资产改造项目给予容积率调整、税费减免、补贴支持；对低空经济企业提供场地租金优惠、人才引进补贴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等一系列优惠扶持政策。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三是协作发展，健全链条。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依托积极的政策导向，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吸引研发、运营、服务类企业集聚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，形成产业链条全规模建设，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集聚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产业效能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。加强与京津冀地区低空经济企业合作，承接产业转移，推动低空经济与现有文旅、农牧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林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业、物流产业深度融合，培育区域发展新动能。</w:t>
      </w:r>
    </w:p>
    <w:p w14:paraId="3EE978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锚定特色业态，打造“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低空经济+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”标杆业态</w:t>
      </w:r>
    </w:p>
    <w:p w14:paraId="4F72809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一是以宏观引导勾勒产业蓝图。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积极开辟战略性新兴产业和未来产业发展新赛道，统筹布局新兴产业和传统产业发展格局。积极申报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争取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国家及自治区各类专项项目，以场景引领产业发展。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以业态集聚推动产业发展。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积极打造“低空经济+文旅”融合名片，依托美林谷滑雪场、美林村农文旅融合示范村等现有资源，将闲置山地、校产、厂房，推动低空基建建设，标准化飞行营地等配套设施建设。让 “空中游喀喇沁” 成为文旅新名片，助力我旗旅游年收入持续增长。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三是以产业发展助推政务服务。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ab/>
        <w:t>结合我旗森林覆盖广、景区分布散的特点，在闲置矿区、国有林场选址建设直升机起降点，构建低空应急反应圈，承担森林消防、应急救援、灾情评估等任务。同时拓展“低空 + 政务服务”场景，利用无人机开展生态巡检、违建排查、电力巡线等工作，提升基层治理效能。例如甘肃省合水县积极探索推进低空经济与智慧林业深度融合，引入无人机、人工智能等新技术加强生态保护。</w:t>
      </w:r>
    </w:p>
    <w:p w14:paraId="4AEC59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三是统筹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经济发展，打造“政产学研金服用”一体化发展体系</w:t>
      </w:r>
    </w:p>
    <w:p w14:paraId="3D9333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瞄准发展新赛道、构筑人才新优势。针对产业发展全链条，紧盯重点群体和重点领域，组织实施青年技能提升、农民工服务技能提升、低空经济技能人才培育、新能源汽车技能就业和人工智能技术技能提升等配套培训行动计划，使培训服务与人才建设更好服务于产业发展。</w:t>
      </w:r>
    </w:p>
    <w:p w14:paraId="49FC02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恳请旗人民政府对以上建议予以研究采纳，推动我旗低空经济产业高质量发展，让闲置资产焕发新活力，为全旗经济社会发展注入强劲动力！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tbak/modified.xml>Tue Feb  3 12:59:14 2026
save:Tue Feb  3 12:59:55 2026

</file>